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E3" w:rsidRPr="00EA5AE3" w:rsidRDefault="00EA5AE3" w:rsidP="00EA5AE3">
      <w:pPr>
        <w:rPr>
          <w:sz w:val="28"/>
          <w:szCs w:val="28"/>
        </w:rPr>
      </w:pPr>
    </w:p>
    <w:p w:rsidR="00B32DDA" w:rsidRDefault="00511CAF" w:rsidP="00B32DDA">
      <w:pPr>
        <w:spacing w:after="0" w:line="240" w:lineRule="auto"/>
        <w:jc w:val="both"/>
        <w:rPr>
          <w:rFonts w:ascii="Times New Roman" w:hAnsi="Times New Roman" w:cs="Times New Roman"/>
          <w:color w:val="000000"/>
          <w:sz w:val="24"/>
          <w:szCs w:val="24"/>
          <w:lang w:eastAsia="ru-RU"/>
        </w:rPr>
      </w:pPr>
      <w:r w:rsidRPr="00E4637D">
        <w:rPr>
          <w:rFonts w:ascii="Times New Roman" w:hAnsi="Times New Roman" w:cs="Times New Roman"/>
          <w:color w:val="000000"/>
          <w:sz w:val="24"/>
          <w:szCs w:val="24"/>
          <w:lang w:eastAsia="ru-RU"/>
        </w:rPr>
        <w:t>20</w:t>
      </w:r>
      <w:r w:rsidR="00B32DDA">
        <w:rPr>
          <w:rFonts w:ascii="Times New Roman" w:hAnsi="Times New Roman" w:cs="Times New Roman"/>
          <w:color w:val="000000"/>
          <w:sz w:val="24"/>
          <w:szCs w:val="24"/>
          <w:lang w:eastAsia="ru-RU"/>
        </w:rPr>
        <w:t xml:space="preserve"> ноября </w:t>
      </w:r>
      <w:r w:rsidR="00B32DDA" w:rsidRPr="00437F43">
        <w:rPr>
          <w:rFonts w:ascii="Times New Roman" w:hAnsi="Times New Roman" w:cs="Times New Roman"/>
          <w:color w:val="000000"/>
          <w:sz w:val="24"/>
          <w:szCs w:val="24"/>
          <w:lang w:eastAsia="ru-RU"/>
        </w:rPr>
        <w:t>201</w:t>
      </w:r>
      <w:r w:rsidR="00B32DDA">
        <w:rPr>
          <w:rFonts w:ascii="Times New Roman" w:hAnsi="Times New Roman" w:cs="Times New Roman"/>
          <w:color w:val="000000"/>
          <w:sz w:val="24"/>
          <w:szCs w:val="24"/>
          <w:lang w:eastAsia="ru-RU"/>
        </w:rPr>
        <w:t>9</w:t>
      </w:r>
      <w:r w:rsidR="00B32DDA" w:rsidRPr="00437F43">
        <w:rPr>
          <w:rFonts w:ascii="Times New Roman" w:hAnsi="Times New Roman" w:cs="Times New Roman"/>
          <w:color w:val="000000"/>
          <w:sz w:val="24"/>
          <w:szCs w:val="24"/>
          <w:lang w:eastAsia="ru-RU"/>
        </w:rPr>
        <w:t xml:space="preserve"> года </w:t>
      </w:r>
    </w:p>
    <w:p w:rsidR="00B32DDA" w:rsidRDefault="00B32DDA" w:rsidP="00B32DDA">
      <w:pPr>
        <w:spacing w:after="0" w:line="240" w:lineRule="auto"/>
        <w:jc w:val="both"/>
        <w:rPr>
          <w:rFonts w:ascii="Times New Roman" w:hAnsi="Times New Roman" w:cs="Times New Roman"/>
          <w:color w:val="000000"/>
          <w:sz w:val="24"/>
          <w:szCs w:val="24"/>
          <w:lang w:eastAsia="ru-RU"/>
        </w:rPr>
      </w:pPr>
    </w:p>
    <w:p w:rsidR="00B32DDA" w:rsidRDefault="00B32DDA" w:rsidP="00B32DDA">
      <w:pPr>
        <w:spacing w:after="0" w:line="240" w:lineRule="auto"/>
        <w:ind w:firstLine="708"/>
        <w:jc w:val="both"/>
        <w:rPr>
          <w:rFonts w:ascii="Times New Roman" w:hAnsi="Times New Roman" w:cs="Times New Roman"/>
          <w:b/>
          <w:color w:val="000000"/>
          <w:sz w:val="24"/>
          <w:szCs w:val="24"/>
          <w:lang w:eastAsia="ru-RU"/>
        </w:rPr>
      </w:pPr>
      <w:proofErr w:type="spellStart"/>
      <w:r>
        <w:rPr>
          <w:rFonts w:ascii="Times New Roman" w:hAnsi="Times New Roman" w:cs="Times New Roman"/>
          <w:b/>
          <w:color w:val="000000"/>
          <w:sz w:val="24"/>
          <w:szCs w:val="24"/>
          <w:lang w:eastAsia="ru-RU"/>
        </w:rPr>
        <w:t>Мисселинг</w:t>
      </w:r>
      <w:proofErr w:type="spellEnd"/>
      <w:r>
        <w:rPr>
          <w:rFonts w:ascii="Times New Roman" w:hAnsi="Times New Roman" w:cs="Times New Roman"/>
          <w:b/>
          <w:color w:val="000000"/>
          <w:sz w:val="24"/>
          <w:szCs w:val="24"/>
          <w:lang w:eastAsia="ru-RU"/>
        </w:rPr>
        <w:t>, или не дайте себя обмануть!</w:t>
      </w:r>
    </w:p>
    <w:p w:rsidR="00B32DDA" w:rsidRDefault="00B32DDA" w:rsidP="00B32DDA">
      <w:pPr>
        <w:spacing w:after="0" w:line="240" w:lineRule="auto"/>
        <w:jc w:val="both"/>
        <w:rPr>
          <w:rFonts w:ascii="Times New Roman" w:hAnsi="Times New Roman" w:cs="Times New Roman"/>
          <w:b/>
          <w:color w:val="000000"/>
          <w:sz w:val="24"/>
          <w:szCs w:val="24"/>
          <w:lang w:eastAsia="ru-RU"/>
        </w:rPr>
      </w:pP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 xml:space="preserve">От жителей Курского региона в 2019 году в Банк России поступило пять жалоб, связанных с </w:t>
      </w:r>
      <w:proofErr w:type="spellStart"/>
      <w:r w:rsidRPr="00463FB1">
        <w:rPr>
          <w:rFonts w:ascii="Times New Roman" w:hAnsi="Times New Roman" w:cs="Times New Roman"/>
          <w:sz w:val="28"/>
          <w:szCs w:val="28"/>
        </w:rPr>
        <w:t>мисселингом</w:t>
      </w:r>
      <w:proofErr w:type="spellEnd"/>
      <w:r w:rsidRPr="00463FB1">
        <w:rPr>
          <w:rFonts w:ascii="Times New Roman" w:hAnsi="Times New Roman" w:cs="Times New Roman"/>
          <w:sz w:val="28"/>
          <w:szCs w:val="28"/>
        </w:rPr>
        <w:t xml:space="preserve"> – недобросовестной продажей клиентам финансового продукта без подробного объяснения его характеристик и особенностей. Потребителя вводят в заблуждение, чтобы он приобрел тот продукт, который выгоден менеджеру, а не тот товар или услугу, за </w:t>
      </w:r>
      <w:proofErr w:type="gramStart"/>
      <w:r w:rsidRPr="00463FB1">
        <w:rPr>
          <w:rFonts w:ascii="Times New Roman" w:hAnsi="Times New Roman" w:cs="Times New Roman"/>
          <w:sz w:val="28"/>
          <w:szCs w:val="28"/>
        </w:rPr>
        <w:t>которыми</w:t>
      </w:r>
      <w:proofErr w:type="gramEnd"/>
      <w:r w:rsidRPr="00463FB1">
        <w:rPr>
          <w:rFonts w:ascii="Times New Roman" w:hAnsi="Times New Roman" w:cs="Times New Roman"/>
          <w:sz w:val="28"/>
          <w:szCs w:val="28"/>
        </w:rPr>
        <w:t xml:space="preserve"> человек обратился изначально, и которые ему нужны на самом деле. Так, курянам при обращении в банки для оформления депозита под видом «более доходного продукта» продавали полис инвестиционного страхования жизни (ИСЖ).</w:t>
      </w: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 xml:space="preserve">Но понятие </w:t>
      </w:r>
      <w:proofErr w:type="spellStart"/>
      <w:r w:rsidRPr="00463FB1">
        <w:rPr>
          <w:rFonts w:ascii="Times New Roman" w:hAnsi="Times New Roman" w:cs="Times New Roman"/>
          <w:sz w:val="28"/>
          <w:szCs w:val="28"/>
        </w:rPr>
        <w:t>мисселинг</w:t>
      </w:r>
      <w:proofErr w:type="spellEnd"/>
      <w:r w:rsidRPr="00463FB1">
        <w:rPr>
          <w:rFonts w:ascii="Times New Roman" w:hAnsi="Times New Roman" w:cs="Times New Roman"/>
          <w:sz w:val="28"/>
          <w:szCs w:val="28"/>
        </w:rPr>
        <w:t xml:space="preserve"> не сводится лишь к продаже ИСЖ. Банки часто выступают агентами не только страховщиков, но и брокерских компаний, негосударственных пенсионных фондов и управляющих компаний, паевых инвестиционных фондов (ПИФ). Как «более доходную» альтернативу вкладам могут предложить паи </w:t>
      </w:r>
      <w:proofErr w:type="spellStart"/>
      <w:r w:rsidRPr="00463FB1">
        <w:rPr>
          <w:rFonts w:ascii="Times New Roman" w:hAnsi="Times New Roman" w:cs="Times New Roman"/>
          <w:sz w:val="28"/>
          <w:szCs w:val="28"/>
        </w:rPr>
        <w:t>ПИФов</w:t>
      </w:r>
      <w:proofErr w:type="spellEnd"/>
      <w:r w:rsidRPr="00463FB1">
        <w:rPr>
          <w:rFonts w:ascii="Times New Roman" w:hAnsi="Times New Roman" w:cs="Times New Roman"/>
          <w:sz w:val="28"/>
          <w:szCs w:val="28"/>
        </w:rPr>
        <w:t xml:space="preserve">, инвестиции в ценные бумаги, договоры негосударственного пенсионного обеспечения. При этом далеко не всегда сообщают обо всех принципиальных отличиях этих продуктов от вкладов. Доходность по ним действительно может оказаться выше, чем по депозитам. Но и риски выше: процент не гарантирован, а вложения не попадают под систему страхования вкладов. </w:t>
      </w: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 xml:space="preserve">Разновидностью </w:t>
      </w:r>
      <w:proofErr w:type="spellStart"/>
      <w:r w:rsidRPr="00463FB1">
        <w:rPr>
          <w:rFonts w:ascii="Times New Roman" w:hAnsi="Times New Roman" w:cs="Times New Roman"/>
          <w:sz w:val="28"/>
          <w:szCs w:val="28"/>
        </w:rPr>
        <w:t>мисселинга</w:t>
      </w:r>
      <w:proofErr w:type="spellEnd"/>
      <w:r w:rsidRPr="00463FB1">
        <w:rPr>
          <w:rFonts w:ascii="Times New Roman" w:hAnsi="Times New Roman" w:cs="Times New Roman"/>
          <w:sz w:val="28"/>
          <w:szCs w:val="28"/>
        </w:rPr>
        <w:t xml:space="preserve"> так же являются так называемые </w:t>
      </w:r>
      <w:proofErr w:type="spellStart"/>
      <w:r w:rsidRPr="00463FB1">
        <w:rPr>
          <w:rFonts w:ascii="Times New Roman" w:hAnsi="Times New Roman" w:cs="Times New Roman"/>
          <w:sz w:val="28"/>
          <w:szCs w:val="28"/>
        </w:rPr>
        <w:t>предпроданные</w:t>
      </w:r>
      <w:proofErr w:type="spellEnd"/>
      <w:r w:rsidRPr="00463FB1">
        <w:rPr>
          <w:rFonts w:ascii="Times New Roman" w:hAnsi="Times New Roman" w:cs="Times New Roman"/>
          <w:sz w:val="28"/>
          <w:szCs w:val="28"/>
        </w:rPr>
        <w:t xml:space="preserve"> услуги. То есть услуги, которые автоматически включены в договор «по умолчанию», даже «галочки» в соответствующих графах договора уже стоят, хотя клиенту это было совершенно не нужно. Такой прием рассчитан на то, что гражданин, читая договор, не догадается, что галочки можно снять и за услуги или продукты не платить. Такими </w:t>
      </w:r>
      <w:proofErr w:type="spellStart"/>
      <w:r w:rsidRPr="00463FB1">
        <w:rPr>
          <w:rFonts w:ascii="Times New Roman" w:hAnsi="Times New Roman" w:cs="Times New Roman"/>
          <w:sz w:val="28"/>
          <w:szCs w:val="28"/>
        </w:rPr>
        <w:t>предпроданными</w:t>
      </w:r>
      <w:proofErr w:type="spellEnd"/>
      <w:r w:rsidRPr="00463FB1">
        <w:rPr>
          <w:rFonts w:ascii="Times New Roman" w:hAnsi="Times New Roman" w:cs="Times New Roman"/>
          <w:sz w:val="28"/>
          <w:szCs w:val="28"/>
        </w:rPr>
        <w:t xml:space="preserve"> продуктами могут быть, например, кредитная карта или дополнительная дебетовая карта. На такие случаи Банк России принимает жалобы граждан и очень жёстко реагирует — через непосредственный контакт с банком.</w:t>
      </w:r>
    </w:p>
    <w:p w:rsidR="00B32DDA" w:rsidRPr="00E4637D" w:rsidRDefault="00B32DDA" w:rsidP="00B32DDA">
      <w:pPr>
        <w:ind w:firstLine="708"/>
        <w:rPr>
          <w:rFonts w:ascii="Times New Roman" w:hAnsi="Times New Roman" w:cs="Times New Roman"/>
          <w:sz w:val="28"/>
          <w:szCs w:val="28"/>
        </w:rPr>
      </w:pPr>
    </w:p>
    <w:p w:rsidR="00B32DDA" w:rsidRPr="00E4637D" w:rsidRDefault="00B32DDA" w:rsidP="00B32DDA">
      <w:pPr>
        <w:ind w:firstLine="708"/>
        <w:rPr>
          <w:rFonts w:ascii="Times New Roman" w:hAnsi="Times New Roman" w:cs="Times New Roman"/>
          <w:sz w:val="28"/>
          <w:szCs w:val="28"/>
        </w:rPr>
      </w:pP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 xml:space="preserve">Управляющий курским отделением Банка России Евгений Овсянников напоминает: «Чтобы обезопасить себя от </w:t>
      </w:r>
      <w:proofErr w:type="spellStart"/>
      <w:r w:rsidRPr="00463FB1">
        <w:rPr>
          <w:rFonts w:ascii="Times New Roman" w:hAnsi="Times New Roman" w:cs="Times New Roman"/>
          <w:sz w:val="28"/>
          <w:szCs w:val="28"/>
        </w:rPr>
        <w:t>мисселинга</w:t>
      </w:r>
      <w:proofErr w:type="spellEnd"/>
      <w:r w:rsidRPr="00463FB1">
        <w:rPr>
          <w:rFonts w:ascii="Times New Roman" w:hAnsi="Times New Roman" w:cs="Times New Roman"/>
          <w:sz w:val="28"/>
          <w:szCs w:val="28"/>
        </w:rPr>
        <w:t>, потребителям финансовых услуг следует быть внимательными. Самое эффективное средство защиты от недобросовестных практик при покупке финансовых продуктов и услуг – это подробное изучение договора и приложения к нему до его подписания. Ставить свою подпись на документе следует только в том случае, если все пункты вам понятны, не вызывают вопросов,  и вас устраивают обозначенные условия и продукты, которые прописаны в договоре».</w:t>
      </w: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Если клиент недоволен взаимоотношениями с финансовой организацией, а на предъявленные претензии она не отвечает, то на нее можно и нужно жаловаться в Банк России. Жалобу мо</w:t>
      </w:r>
      <w:r>
        <w:rPr>
          <w:rFonts w:ascii="Times New Roman" w:hAnsi="Times New Roman" w:cs="Times New Roman"/>
          <w:sz w:val="28"/>
          <w:szCs w:val="28"/>
        </w:rPr>
        <w:t xml:space="preserve">жно направить в </w:t>
      </w:r>
      <w:r w:rsidRPr="00463FB1">
        <w:rPr>
          <w:rFonts w:ascii="Times New Roman" w:hAnsi="Times New Roman" w:cs="Times New Roman"/>
          <w:sz w:val="28"/>
          <w:szCs w:val="28"/>
        </w:rPr>
        <w:t xml:space="preserve">электронном виде через интернет-приемную Банка России на сайте </w:t>
      </w:r>
      <w:hyperlink r:id="rId7" w:history="1">
        <w:r w:rsidRPr="00463FB1">
          <w:rPr>
            <w:rStyle w:val="a5"/>
            <w:rFonts w:ascii="Times New Roman" w:hAnsi="Times New Roman" w:cs="Times New Roman"/>
            <w:sz w:val="28"/>
            <w:szCs w:val="28"/>
          </w:rPr>
          <w:t>www.cbr.ru</w:t>
        </w:r>
      </w:hyperlink>
      <w:r w:rsidRPr="00463FB1">
        <w:rPr>
          <w:rFonts w:ascii="Times New Roman" w:hAnsi="Times New Roman" w:cs="Times New Roman"/>
          <w:sz w:val="28"/>
          <w:szCs w:val="28"/>
        </w:rPr>
        <w:t>. Необходимо будет прикрепить документы.</w:t>
      </w:r>
    </w:p>
    <w:p w:rsidR="00B32DDA" w:rsidRPr="00463FB1" w:rsidRDefault="00B32DDA" w:rsidP="00B32DDA">
      <w:pPr>
        <w:ind w:firstLine="708"/>
        <w:rPr>
          <w:rFonts w:ascii="Times New Roman" w:hAnsi="Times New Roman" w:cs="Times New Roman"/>
          <w:sz w:val="28"/>
          <w:szCs w:val="28"/>
        </w:rPr>
      </w:pPr>
      <w:r w:rsidRPr="00463FB1">
        <w:rPr>
          <w:rFonts w:ascii="Times New Roman" w:hAnsi="Times New Roman" w:cs="Times New Roman"/>
          <w:sz w:val="28"/>
          <w:szCs w:val="28"/>
        </w:rPr>
        <w:t xml:space="preserve">Банк России проводит работу с участниками финансового рынка, чтобы исключить любые проявления </w:t>
      </w:r>
      <w:proofErr w:type="spellStart"/>
      <w:r w:rsidRPr="00463FB1">
        <w:rPr>
          <w:rFonts w:ascii="Times New Roman" w:hAnsi="Times New Roman" w:cs="Times New Roman"/>
          <w:sz w:val="28"/>
          <w:szCs w:val="28"/>
        </w:rPr>
        <w:t>мисселинга</w:t>
      </w:r>
      <w:proofErr w:type="spellEnd"/>
      <w:r w:rsidRPr="00463FB1">
        <w:rPr>
          <w:rFonts w:ascii="Times New Roman" w:hAnsi="Times New Roman" w:cs="Times New Roman"/>
          <w:sz w:val="28"/>
          <w:szCs w:val="28"/>
        </w:rPr>
        <w:t xml:space="preserve">. В 2019 году вступил в силу нормативный акт Банка России, который обязывает продавца раскрывать всю информацию о продукте так, чтобы не ввести человека в заблуждение. Дополнительно планируется сформировать единые правила продажи сложных финансовых инструментов, обязательные для всех участников финансового рынка. </w:t>
      </w:r>
    </w:p>
    <w:p w:rsidR="00B32DDA" w:rsidRPr="00463FB1" w:rsidRDefault="00B32DDA" w:rsidP="00B32DDA">
      <w:pPr>
        <w:rPr>
          <w:rFonts w:ascii="Times New Roman" w:hAnsi="Times New Roman" w:cs="Times New Roman"/>
          <w:sz w:val="28"/>
          <w:szCs w:val="28"/>
        </w:rPr>
      </w:pPr>
    </w:p>
    <w:p w:rsidR="00CB2060" w:rsidRDefault="00CB2060" w:rsidP="00CB2060">
      <w:pPr>
        <w:spacing w:line="240" w:lineRule="auto"/>
        <w:rPr>
          <w:rFonts w:ascii="Times New Roman" w:hAnsi="Times New Roman" w:cs="Times New Roman"/>
          <w:i/>
          <w:color w:val="000000"/>
          <w:sz w:val="28"/>
          <w:szCs w:val="28"/>
          <w:lang w:eastAsia="ru-RU"/>
        </w:rPr>
      </w:pPr>
    </w:p>
    <w:p w:rsidR="00E4637D" w:rsidRDefault="00E4637D" w:rsidP="00CB2060">
      <w:pPr>
        <w:spacing w:line="240" w:lineRule="auto"/>
        <w:rPr>
          <w:rFonts w:ascii="Times New Roman" w:hAnsi="Times New Roman" w:cs="Times New Roman"/>
          <w:i/>
          <w:color w:val="000000"/>
          <w:sz w:val="28"/>
          <w:szCs w:val="28"/>
          <w:lang w:eastAsia="ru-RU"/>
        </w:rPr>
      </w:pPr>
    </w:p>
    <w:p w:rsidR="00E4637D" w:rsidRPr="00EA5AE3" w:rsidRDefault="00E4637D" w:rsidP="00CB2060">
      <w:pPr>
        <w:spacing w:line="240" w:lineRule="auto"/>
        <w:rPr>
          <w:rFonts w:ascii="Times New Roman" w:hAnsi="Times New Roman" w:cs="Times New Roman"/>
          <w:i/>
          <w:color w:val="000000"/>
          <w:sz w:val="28"/>
          <w:szCs w:val="28"/>
          <w:lang w:eastAsia="ru-RU"/>
        </w:rPr>
      </w:pPr>
      <w:bookmarkStart w:id="0" w:name="_GoBack"/>
      <w:bookmarkEnd w:id="0"/>
    </w:p>
    <w:p w:rsidR="00FF1290" w:rsidRPr="00EA5AE3" w:rsidRDefault="00FF1290" w:rsidP="00FF1290">
      <w:pPr>
        <w:spacing w:after="0" w:line="240" w:lineRule="auto"/>
        <w:rPr>
          <w:rFonts w:ascii="Times New Roman" w:eastAsia="Times New Roman" w:hAnsi="Times New Roman" w:cs="Times New Roman"/>
          <w:b/>
          <w:color w:val="808080" w:themeColor="background1" w:themeShade="80"/>
          <w:sz w:val="28"/>
          <w:szCs w:val="28"/>
          <w:lang w:eastAsia="ru-RU"/>
        </w:rPr>
      </w:pPr>
      <w:r w:rsidRPr="00EA5AE3">
        <w:rPr>
          <w:rFonts w:ascii="Times New Roman" w:eastAsia="Times New Roman" w:hAnsi="Times New Roman" w:cs="Times New Roman"/>
          <w:b/>
          <w:color w:val="808080" w:themeColor="background1" w:themeShade="80"/>
          <w:sz w:val="28"/>
          <w:szCs w:val="28"/>
          <w:lang w:eastAsia="ru-RU"/>
        </w:rPr>
        <w:t>Отделение Курск Г</w:t>
      </w:r>
      <w:r w:rsidR="003D5A59" w:rsidRPr="00EA5AE3">
        <w:rPr>
          <w:rFonts w:ascii="Times New Roman" w:eastAsia="Times New Roman" w:hAnsi="Times New Roman" w:cs="Times New Roman"/>
          <w:b/>
          <w:color w:val="808080" w:themeColor="background1" w:themeShade="80"/>
          <w:sz w:val="28"/>
          <w:szCs w:val="28"/>
          <w:lang w:eastAsia="ru-RU"/>
        </w:rPr>
        <w:t xml:space="preserve">У </w:t>
      </w:r>
      <w:r w:rsidRPr="00EA5AE3">
        <w:rPr>
          <w:rFonts w:ascii="Times New Roman" w:eastAsia="Times New Roman" w:hAnsi="Times New Roman" w:cs="Times New Roman"/>
          <w:b/>
          <w:color w:val="808080" w:themeColor="background1" w:themeShade="80"/>
          <w:sz w:val="28"/>
          <w:szCs w:val="28"/>
          <w:lang w:eastAsia="ru-RU"/>
        </w:rPr>
        <w:t xml:space="preserve">Банка России </w:t>
      </w:r>
    </w:p>
    <w:p w:rsidR="00FF1290" w:rsidRPr="00EA5AE3" w:rsidRDefault="00FF1290" w:rsidP="00FF1290">
      <w:pPr>
        <w:spacing w:after="0" w:line="240" w:lineRule="auto"/>
        <w:rPr>
          <w:rFonts w:ascii="Times New Roman" w:eastAsia="Times New Roman" w:hAnsi="Times New Roman" w:cs="Times New Roman"/>
          <w:b/>
          <w:color w:val="808080" w:themeColor="background1" w:themeShade="80"/>
          <w:sz w:val="28"/>
          <w:szCs w:val="28"/>
          <w:lang w:eastAsia="ru-RU"/>
        </w:rPr>
      </w:pPr>
      <w:r w:rsidRPr="00EA5AE3">
        <w:rPr>
          <w:rFonts w:ascii="Times New Roman" w:eastAsia="Times New Roman" w:hAnsi="Times New Roman" w:cs="Times New Roman"/>
          <w:b/>
          <w:color w:val="808080" w:themeColor="background1" w:themeShade="80"/>
          <w:sz w:val="28"/>
          <w:szCs w:val="28"/>
          <w:lang w:eastAsia="ru-RU"/>
        </w:rPr>
        <w:t xml:space="preserve">по Центральному федеральному округу </w:t>
      </w:r>
    </w:p>
    <w:p w:rsidR="00FF1290" w:rsidRPr="00EA5AE3" w:rsidRDefault="00FF1290" w:rsidP="00FF1290">
      <w:pPr>
        <w:spacing w:after="0" w:line="240" w:lineRule="auto"/>
        <w:rPr>
          <w:rFonts w:ascii="Times New Roman" w:eastAsia="Times New Roman" w:hAnsi="Times New Roman" w:cs="Times New Roman"/>
          <w:b/>
          <w:color w:val="808080" w:themeColor="background1" w:themeShade="80"/>
          <w:sz w:val="28"/>
          <w:szCs w:val="28"/>
          <w:lang w:eastAsia="ru-RU"/>
        </w:rPr>
      </w:pPr>
      <w:r w:rsidRPr="00EA5AE3">
        <w:rPr>
          <w:rFonts w:ascii="Times New Roman" w:eastAsia="Times New Roman" w:hAnsi="Times New Roman" w:cs="Times New Roman"/>
          <w:b/>
          <w:color w:val="808080" w:themeColor="background1" w:themeShade="80"/>
          <w:sz w:val="28"/>
          <w:szCs w:val="28"/>
          <w:lang w:eastAsia="ru-RU"/>
        </w:rPr>
        <w:t>Тел.: 36-12-20, 36-20-24;</w:t>
      </w:r>
    </w:p>
    <w:p w:rsidR="00FF1290" w:rsidRPr="00EA5AE3" w:rsidRDefault="00FF1290" w:rsidP="00FF1290">
      <w:pPr>
        <w:spacing w:after="0" w:line="240" w:lineRule="auto"/>
        <w:rPr>
          <w:rFonts w:ascii="Times New Roman" w:hAnsi="Times New Roman" w:cs="Times New Roman"/>
          <w:b/>
          <w:color w:val="000000"/>
          <w:sz w:val="28"/>
          <w:szCs w:val="28"/>
          <w:lang w:eastAsia="ru-RU"/>
        </w:rPr>
      </w:pPr>
      <w:proofErr w:type="gramStart"/>
      <w:r w:rsidRPr="00EA5AE3">
        <w:rPr>
          <w:rFonts w:ascii="Times New Roman" w:eastAsia="Times New Roman" w:hAnsi="Times New Roman" w:cs="Times New Roman"/>
          <w:b/>
          <w:color w:val="808080" w:themeColor="background1" w:themeShade="80"/>
          <w:sz w:val="28"/>
          <w:szCs w:val="28"/>
          <w:lang w:eastAsia="ru-RU"/>
        </w:rPr>
        <w:t>е</w:t>
      </w:r>
      <w:proofErr w:type="gramEnd"/>
      <w:r w:rsidRPr="00EA5AE3">
        <w:rPr>
          <w:rFonts w:ascii="Times New Roman" w:eastAsia="Times New Roman" w:hAnsi="Times New Roman" w:cs="Times New Roman"/>
          <w:b/>
          <w:color w:val="808080" w:themeColor="background1" w:themeShade="80"/>
          <w:sz w:val="28"/>
          <w:szCs w:val="28"/>
          <w:lang w:eastAsia="ru-RU"/>
        </w:rPr>
        <w:t>-</w:t>
      </w:r>
      <w:proofErr w:type="spellStart"/>
      <w:r w:rsidRPr="00EA5AE3">
        <w:rPr>
          <w:rFonts w:ascii="Times New Roman" w:eastAsia="Times New Roman" w:hAnsi="Times New Roman" w:cs="Times New Roman"/>
          <w:b/>
          <w:color w:val="808080" w:themeColor="background1" w:themeShade="80"/>
          <w:sz w:val="28"/>
          <w:szCs w:val="28"/>
          <w:lang w:eastAsia="ru-RU"/>
        </w:rPr>
        <w:t>mail</w:t>
      </w:r>
      <w:proofErr w:type="spellEnd"/>
      <w:r w:rsidRPr="00EA5AE3">
        <w:rPr>
          <w:rFonts w:ascii="Times New Roman" w:eastAsia="Times New Roman" w:hAnsi="Times New Roman" w:cs="Times New Roman"/>
          <w:b/>
          <w:color w:val="808080" w:themeColor="background1" w:themeShade="80"/>
          <w:sz w:val="28"/>
          <w:szCs w:val="28"/>
          <w:lang w:eastAsia="ru-RU"/>
        </w:rPr>
        <w:t>: 38media@cbr.ru</w:t>
      </w:r>
    </w:p>
    <w:p w:rsidR="009333EC" w:rsidRPr="00EA5AE3" w:rsidRDefault="009333EC">
      <w:pPr>
        <w:rPr>
          <w:sz w:val="28"/>
          <w:szCs w:val="28"/>
        </w:rPr>
      </w:pPr>
    </w:p>
    <w:sectPr w:rsidR="009333EC" w:rsidRPr="00EA5AE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0F" w:rsidRDefault="00C9320F">
      <w:pPr>
        <w:spacing w:after="0" w:line="240" w:lineRule="auto"/>
      </w:pPr>
      <w:r>
        <w:separator/>
      </w:r>
    </w:p>
  </w:endnote>
  <w:endnote w:type="continuationSeparator" w:id="0">
    <w:p w:rsidR="00C9320F" w:rsidRDefault="00C9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0F" w:rsidRDefault="00C9320F">
      <w:pPr>
        <w:spacing w:after="0" w:line="240" w:lineRule="auto"/>
      </w:pPr>
      <w:r>
        <w:separator/>
      </w:r>
    </w:p>
  </w:footnote>
  <w:footnote w:type="continuationSeparator" w:id="0">
    <w:p w:rsidR="00C9320F" w:rsidRDefault="00C9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A7" w:rsidRDefault="00FF1290" w:rsidP="00CD1297">
    <w:pPr>
      <w:pStyle w:val="a3"/>
    </w:pPr>
    <w:r>
      <w:rPr>
        <w:b/>
        <w:noProof/>
        <w:sz w:val="28"/>
        <w:szCs w:val="28"/>
        <w:lang w:eastAsia="ru-RU"/>
      </w:rPr>
      <w:drawing>
        <wp:inline distT="0" distB="0" distL="0" distR="0" wp14:anchorId="3A2A4FF6" wp14:editId="044A506F">
          <wp:extent cx="2750820" cy="968375"/>
          <wp:effectExtent l="0" t="0" r="0" b="3175"/>
          <wp:docPr id="1" name="Рисунок 1" descr="Logo_GUBankaRossiipoTC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GUBankaRossiipoTC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968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90"/>
    <w:rsid w:val="0010562E"/>
    <w:rsid w:val="003D5A59"/>
    <w:rsid w:val="004604E6"/>
    <w:rsid w:val="004611B2"/>
    <w:rsid w:val="00511CAF"/>
    <w:rsid w:val="009333EC"/>
    <w:rsid w:val="00A820E9"/>
    <w:rsid w:val="00B32DDA"/>
    <w:rsid w:val="00C9320F"/>
    <w:rsid w:val="00CB2060"/>
    <w:rsid w:val="00E4637D"/>
    <w:rsid w:val="00EA5AE3"/>
    <w:rsid w:val="00F169AF"/>
    <w:rsid w:val="00F475D0"/>
    <w:rsid w:val="00F71ADF"/>
    <w:rsid w:val="00FF1290"/>
    <w:rsid w:val="00FF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1290"/>
  </w:style>
  <w:style w:type="character" w:styleId="a5">
    <w:name w:val="Hyperlink"/>
    <w:basedOn w:val="a0"/>
    <w:uiPriority w:val="99"/>
    <w:unhideWhenUsed/>
    <w:rsid w:val="00FF1290"/>
    <w:rPr>
      <w:color w:val="0000FF" w:themeColor="hyperlink"/>
      <w:u w:val="single"/>
    </w:rPr>
  </w:style>
  <w:style w:type="paragraph" w:styleId="a6">
    <w:name w:val="Balloon Text"/>
    <w:basedOn w:val="a"/>
    <w:link w:val="a7"/>
    <w:uiPriority w:val="99"/>
    <w:semiHidden/>
    <w:unhideWhenUsed/>
    <w:rsid w:val="00FF1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1290"/>
    <w:rPr>
      <w:rFonts w:ascii="Tahoma" w:hAnsi="Tahoma" w:cs="Tahoma"/>
      <w:sz w:val="16"/>
      <w:szCs w:val="16"/>
    </w:rPr>
  </w:style>
  <w:style w:type="paragraph" w:styleId="a8">
    <w:name w:val="footer"/>
    <w:basedOn w:val="a"/>
    <w:link w:val="a9"/>
    <w:uiPriority w:val="99"/>
    <w:unhideWhenUsed/>
    <w:rsid w:val="00F475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2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1290"/>
  </w:style>
  <w:style w:type="character" w:styleId="a5">
    <w:name w:val="Hyperlink"/>
    <w:basedOn w:val="a0"/>
    <w:uiPriority w:val="99"/>
    <w:unhideWhenUsed/>
    <w:rsid w:val="00FF1290"/>
    <w:rPr>
      <w:color w:val="0000FF" w:themeColor="hyperlink"/>
      <w:u w:val="single"/>
    </w:rPr>
  </w:style>
  <w:style w:type="paragraph" w:styleId="a6">
    <w:name w:val="Balloon Text"/>
    <w:basedOn w:val="a"/>
    <w:link w:val="a7"/>
    <w:uiPriority w:val="99"/>
    <w:semiHidden/>
    <w:unhideWhenUsed/>
    <w:rsid w:val="00FF12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1290"/>
    <w:rPr>
      <w:rFonts w:ascii="Tahoma" w:hAnsi="Tahoma" w:cs="Tahoma"/>
      <w:sz w:val="16"/>
      <w:szCs w:val="16"/>
    </w:rPr>
  </w:style>
  <w:style w:type="paragraph" w:styleId="a8">
    <w:name w:val="footer"/>
    <w:basedOn w:val="a"/>
    <w:link w:val="a9"/>
    <w:uiPriority w:val="99"/>
    <w:unhideWhenUsed/>
    <w:rsid w:val="00F475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Ольга Владимировна</dc:creator>
  <cp:lastModifiedBy>user</cp:lastModifiedBy>
  <cp:revision>10</cp:revision>
  <dcterms:created xsi:type="dcterms:W3CDTF">2018-08-09T07:02:00Z</dcterms:created>
  <dcterms:modified xsi:type="dcterms:W3CDTF">2019-11-21T11:48:00Z</dcterms:modified>
</cp:coreProperties>
</file>